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E8C2" w14:textId="77777777" w:rsidR="007541FE" w:rsidRDefault="007541FE" w:rsidP="00E433B0">
      <w:pPr>
        <w:jc w:val="both"/>
        <w:rPr>
          <w:rFonts w:ascii="Lato" w:hAnsi="Lato"/>
          <w:b/>
          <w:bCs/>
          <w:sz w:val="20"/>
          <w:szCs w:val="20"/>
          <w:lang w:val="en"/>
        </w:rPr>
      </w:pPr>
    </w:p>
    <w:p w14:paraId="15A3252F" w14:textId="77777777" w:rsidR="00E433B0" w:rsidRPr="007541FE" w:rsidRDefault="00E433B0" w:rsidP="00E433B0">
      <w:pPr>
        <w:jc w:val="both"/>
        <w:rPr>
          <w:rFonts w:ascii="Lato" w:hAnsi="Lato"/>
          <w:b/>
          <w:bCs/>
          <w:sz w:val="20"/>
          <w:szCs w:val="20"/>
          <w:lang w:val="en"/>
        </w:rPr>
      </w:pPr>
      <w:r w:rsidRPr="007541FE">
        <w:rPr>
          <w:rFonts w:ascii="Lato" w:hAnsi="Lato"/>
          <w:b/>
          <w:bCs/>
          <w:sz w:val="20"/>
          <w:szCs w:val="20"/>
          <w:lang w:val="en"/>
        </w:rPr>
        <w:t>Annual report and accounts</w:t>
      </w:r>
    </w:p>
    <w:p w14:paraId="2ED63339" w14:textId="77777777" w:rsidR="00E433B0" w:rsidRPr="007541FE" w:rsidRDefault="00E433B0" w:rsidP="00E433B0">
      <w:pPr>
        <w:jc w:val="both"/>
        <w:rPr>
          <w:sz w:val="20"/>
          <w:szCs w:val="20"/>
        </w:rPr>
      </w:pPr>
    </w:p>
    <w:p w14:paraId="6A77DF8E" w14:textId="77777777" w:rsidR="00E433B0" w:rsidRPr="007541FE" w:rsidRDefault="00E433B0" w:rsidP="00E433B0">
      <w:pPr>
        <w:jc w:val="both"/>
        <w:rPr>
          <w:sz w:val="20"/>
          <w:szCs w:val="20"/>
        </w:rPr>
      </w:pPr>
      <w:r w:rsidRPr="007541FE">
        <w:rPr>
          <w:sz w:val="20"/>
          <w:szCs w:val="20"/>
        </w:rPr>
        <w:t>Whilst the hard work in maintaining the detailed accounts</w:t>
      </w:r>
      <w:r w:rsidR="00055222" w:rsidRPr="007541FE">
        <w:rPr>
          <w:sz w:val="20"/>
          <w:szCs w:val="20"/>
        </w:rPr>
        <w:t xml:space="preserve"> and records </w:t>
      </w:r>
      <w:r w:rsidRPr="007541FE">
        <w:rPr>
          <w:sz w:val="20"/>
          <w:szCs w:val="20"/>
        </w:rPr>
        <w:t xml:space="preserve">and balancing these to the bank statements and cash is being carried out </w:t>
      </w:r>
      <w:r w:rsidR="007A4A78" w:rsidRPr="007541FE">
        <w:rPr>
          <w:sz w:val="20"/>
          <w:szCs w:val="20"/>
        </w:rPr>
        <w:t xml:space="preserve">carefully </w:t>
      </w:r>
      <w:r w:rsidR="009D5A2C" w:rsidRPr="007541FE">
        <w:rPr>
          <w:sz w:val="20"/>
          <w:szCs w:val="20"/>
        </w:rPr>
        <w:t xml:space="preserve">by the treasurers </w:t>
      </w:r>
      <w:r w:rsidRPr="007541FE">
        <w:rPr>
          <w:sz w:val="20"/>
          <w:szCs w:val="20"/>
        </w:rPr>
        <w:t>across the Parishes</w:t>
      </w:r>
      <w:r w:rsidR="007A4A78" w:rsidRPr="007541FE">
        <w:rPr>
          <w:sz w:val="20"/>
          <w:szCs w:val="20"/>
        </w:rPr>
        <w:t xml:space="preserve">, there then </w:t>
      </w:r>
      <w:r w:rsidRPr="007541FE">
        <w:rPr>
          <w:sz w:val="20"/>
          <w:szCs w:val="20"/>
        </w:rPr>
        <w:t xml:space="preserve">appears to be some confusion about the content needed in the </w:t>
      </w:r>
      <w:r w:rsidR="007A4A78" w:rsidRPr="007541FE">
        <w:rPr>
          <w:sz w:val="20"/>
          <w:szCs w:val="20"/>
        </w:rPr>
        <w:t xml:space="preserve">year end PCC </w:t>
      </w:r>
      <w:r w:rsidR="0009450E" w:rsidRPr="007541FE">
        <w:rPr>
          <w:sz w:val="20"/>
          <w:szCs w:val="20"/>
        </w:rPr>
        <w:t>‘</w:t>
      </w:r>
      <w:r w:rsidRPr="007541FE">
        <w:rPr>
          <w:sz w:val="20"/>
          <w:szCs w:val="20"/>
        </w:rPr>
        <w:t>Annual Report and Accounts’</w:t>
      </w:r>
      <w:r w:rsidR="007A4A78" w:rsidRPr="007541FE">
        <w:rPr>
          <w:sz w:val="20"/>
          <w:szCs w:val="20"/>
        </w:rPr>
        <w:t>.  V</w:t>
      </w:r>
      <w:r w:rsidRPr="007541FE">
        <w:rPr>
          <w:sz w:val="20"/>
          <w:szCs w:val="20"/>
        </w:rPr>
        <w:t>arious PCCs are therefore not fully compliant with the</w:t>
      </w:r>
      <w:r w:rsidR="0009450E" w:rsidRPr="007541FE">
        <w:rPr>
          <w:sz w:val="20"/>
          <w:szCs w:val="20"/>
        </w:rPr>
        <w:t xml:space="preserve">ir legal requirements under the </w:t>
      </w:r>
      <w:r w:rsidRPr="007541FE">
        <w:rPr>
          <w:sz w:val="20"/>
          <w:szCs w:val="20"/>
        </w:rPr>
        <w:t>various Church and Charities Act legislation.</w:t>
      </w:r>
    </w:p>
    <w:p w14:paraId="13C8403A" w14:textId="77777777" w:rsidR="007541FE" w:rsidRPr="007541FE" w:rsidRDefault="007541FE" w:rsidP="00E433B0">
      <w:pPr>
        <w:jc w:val="both"/>
        <w:rPr>
          <w:sz w:val="20"/>
          <w:szCs w:val="20"/>
        </w:rPr>
      </w:pPr>
    </w:p>
    <w:p w14:paraId="0454AB4B" w14:textId="42995724" w:rsidR="007541FE" w:rsidRPr="007541FE" w:rsidRDefault="007541FE" w:rsidP="00E433B0">
      <w:pPr>
        <w:jc w:val="both"/>
        <w:rPr>
          <w:sz w:val="20"/>
          <w:szCs w:val="20"/>
        </w:rPr>
      </w:pPr>
      <w:r w:rsidRPr="007541FE">
        <w:rPr>
          <w:sz w:val="20"/>
          <w:szCs w:val="20"/>
        </w:rPr>
        <w:t xml:space="preserve">We thought it may be useful to set out some of the more frequent issues that we are seeing so that these can be amended as part of preparing the Annual Report and Accounts. </w:t>
      </w:r>
    </w:p>
    <w:p w14:paraId="3F3C14E4" w14:textId="77777777" w:rsidR="00E433B0" w:rsidRPr="007541FE" w:rsidRDefault="00E433B0" w:rsidP="00E433B0">
      <w:pPr>
        <w:jc w:val="both"/>
        <w:rPr>
          <w:sz w:val="20"/>
          <w:szCs w:val="20"/>
        </w:rPr>
      </w:pPr>
    </w:p>
    <w:p w14:paraId="7EFA54F4" w14:textId="77777777" w:rsidR="00E433B0" w:rsidRPr="007541FE" w:rsidRDefault="00E433B0" w:rsidP="00E433B0">
      <w:pPr>
        <w:jc w:val="both"/>
        <w:rPr>
          <w:rFonts w:ascii="Calibri" w:hAnsi="Calibri" w:cs="Calibri"/>
          <w:sz w:val="20"/>
          <w:szCs w:val="20"/>
        </w:rPr>
      </w:pPr>
      <w:r w:rsidRPr="007541FE">
        <w:rPr>
          <w:rFonts w:ascii="Calibri" w:hAnsi="Calibri" w:cs="Calibri"/>
          <w:sz w:val="20"/>
          <w:szCs w:val="20"/>
        </w:rPr>
        <w:t>Common problems in the information submitted to the Diocese appear to be:</w:t>
      </w:r>
    </w:p>
    <w:p w14:paraId="649A0495" w14:textId="77777777" w:rsidR="00E433B0" w:rsidRPr="007541FE" w:rsidRDefault="00E433B0" w:rsidP="0009450E">
      <w:pPr>
        <w:numPr>
          <w:ilvl w:val="0"/>
          <w:numId w:val="3"/>
        </w:numPr>
        <w:ind w:left="720"/>
        <w:jc w:val="both"/>
        <w:rPr>
          <w:rFonts w:ascii="Calibri" w:hAnsi="Calibri" w:cs="Calibri"/>
          <w:sz w:val="20"/>
          <w:szCs w:val="20"/>
        </w:rPr>
      </w:pPr>
      <w:r w:rsidRPr="007541FE">
        <w:rPr>
          <w:rFonts w:ascii="Calibri" w:hAnsi="Calibri" w:cs="Calibri"/>
          <w:sz w:val="20"/>
          <w:szCs w:val="20"/>
        </w:rPr>
        <w:t xml:space="preserve">They are not always being aggregated at PCC level.  Some churches are preparing individual accounts but the legal requirement is </w:t>
      </w:r>
      <w:r w:rsidR="00055222" w:rsidRPr="007541FE">
        <w:rPr>
          <w:rFonts w:ascii="Calibri" w:hAnsi="Calibri" w:cs="Calibri"/>
          <w:sz w:val="20"/>
          <w:szCs w:val="20"/>
        </w:rPr>
        <w:t xml:space="preserve">for </w:t>
      </w:r>
      <w:r w:rsidRPr="007541FE">
        <w:rPr>
          <w:rFonts w:ascii="Calibri" w:hAnsi="Calibri" w:cs="Calibri"/>
          <w:sz w:val="20"/>
          <w:szCs w:val="20"/>
        </w:rPr>
        <w:t xml:space="preserve">an aggregated set at PCC level. </w:t>
      </w:r>
    </w:p>
    <w:p w14:paraId="03AEB05C" w14:textId="77777777" w:rsidR="00E433B0" w:rsidRPr="007541FE" w:rsidRDefault="00E433B0" w:rsidP="0009450E">
      <w:pPr>
        <w:ind w:left="720"/>
        <w:jc w:val="both"/>
        <w:rPr>
          <w:rFonts w:ascii="Calibri" w:hAnsi="Calibri" w:cs="Calibri"/>
          <w:sz w:val="20"/>
          <w:szCs w:val="20"/>
        </w:rPr>
      </w:pPr>
    </w:p>
    <w:p w14:paraId="5FB05FEF" w14:textId="77777777" w:rsidR="00E433B0" w:rsidRPr="007541FE" w:rsidRDefault="00E433B0" w:rsidP="0009450E">
      <w:pPr>
        <w:numPr>
          <w:ilvl w:val="0"/>
          <w:numId w:val="3"/>
        </w:numPr>
        <w:ind w:left="720"/>
        <w:jc w:val="both"/>
        <w:rPr>
          <w:rFonts w:ascii="Calibri" w:hAnsi="Calibri" w:cs="Calibri"/>
          <w:sz w:val="20"/>
          <w:szCs w:val="20"/>
        </w:rPr>
      </w:pPr>
      <w:r w:rsidRPr="007541FE">
        <w:rPr>
          <w:rFonts w:ascii="Calibri" w:hAnsi="Calibri" w:cs="Calibri"/>
          <w:sz w:val="20"/>
          <w:szCs w:val="20"/>
        </w:rPr>
        <w:t>They are not always complete.  The</w:t>
      </w:r>
      <w:r w:rsidR="00055222" w:rsidRPr="007541FE">
        <w:rPr>
          <w:rFonts w:ascii="Calibri" w:hAnsi="Calibri" w:cs="Calibri"/>
          <w:sz w:val="20"/>
          <w:szCs w:val="20"/>
        </w:rPr>
        <w:t xml:space="preserve"> aggregated ‘Annual Report and Accounts’</w:t>
      </w:r>
      <w:r w:rsidRPr="007541FE">
        <w:rPr>
          <w:rFonts w:ascii="Calibri" w:hAnsi="Calibri" w:cs="Calibri"/>
          <w:sz w:val="20"/>
          <w:szCs w:val="20"/>
        </w:rPr>
        <w:t xml:space="preserve"> should contain the following 4 sections and should comply with the Statement of Recommended Practice (SORP) for charities:</w:t>
      </w:r>
    </w:p>
    <w:p w14:paraId="0C5D3B9A" w14:textId="77777777" w:rsidR="00E433B0" w:rsidRPr="007541FE" w:rsidRDefault="00E433B0" w:rsidP="0049264E">
      <w:pPr>
        <w:numPr>
          <w:ilvl w:val="1"/>
          <w:numId w:val="3"/>
        </w:numPr>
        <w:jc w:val="both"/>
        <w:rPr>
          <w:rFonts w:ascii="Calibri" w:hAnsi="Calibri" w:cs="Calibri"/>
          <w:sz w:val="20"/>
          <w:szCs w:val="20"/>
        </w:rPr>
      </w:pPr>
      <w:r w:rsidRPr="007541FE">
        <w:rPr>
          <w:rFonts w:ascii="Calibri" w:hAnsi="Calibri" w:cs="Calibri"/>
          <w:sz w:val="20"/>
          <w:szCs w:val="20"/>
        </w:rPr>
        <w:t>Trustees</w:t>
      </w:r>
      <w:r w:rsidR="00055222" w:rsidRPr="007541FE">
        <w:rPr>
          <w:rFonts w:ascii="Calibri" w:hAnsi="Calibri" w:cs="Calibri"/>
          <w:sz w:val="20"/>
          <w:szCs w:val="20"/>
        </w:rPr>
        <w:t>’</w:t>
      </w:r>
      <w:r w:rsidRPr="007541FE">
        <w:rPr>
          <w:rFonts w:ascii="Calibri" w:hAnsi="Calibri" w:cs="Calibri"/>
          <w:sz w:val="20"/>
          <w:szCs w:val="20"/>
        </w:rPr>
        <w:t xml:space="preserve"> </w:t>
      </w:r>
      <w:r w:rsidR="00055222" w:rsidRPr="007541FE">
        <w:rPr>
          <w:rFonts w:ascii="Calibri" w:hAnsi="Calibri" w:cs="Calibri"/>
          <w:sz w:val="20"/>
          <w:szCs w:val="20"/>
        </w:rPr>
        <w:t xml:space="preserve">Annual </w:t>
      </w:r>
      <w:r w:rsidR="007541FE" w:rsidRPr="007541FE">
        <w:rPr>
          <w:rFonts w:ascii="Calibri" w:hAnsi="Calibri" w:cs="Calibri"/>
          <w:sz w:val="20"/>
          <w:szCs w:val="20"/>
        </w:rPr>
        <w:t>Report</w:t>
      </w:r>
    </w:p>
    <w:p w14:paraId="6FC44C5F" w14:textId="77777777" w:rsidR="00E433B0" w:rsidRPr="0049264E" w:rsidRDefault="007541FE" w:rsidP="0049264E">
      <w:pPr>
        <w:numPr>
          <w:ilvl w:val="1"/>
          <w:numId w:val="3"/>
        </w:numPr>
        <w:jc w:val="both"/>
        <w:rPr>
          <w:rFonts w:ascii="Calibri" w:hAnsi="Calibri" w:cs="Calibri"/>
          <w:sz w:val="20"/>
          <w:szCs w:val="20"/>
        </w:rPr>
      </w:pPr>
      <w:r w:rsidRPr="0049264E">
        <w:rPr>
          <w:rFonts w:ascii="Calibri" w:hAnsi="Calibri" w:cs="Calibri"/>
          <w:sz w:val="20"/>
          <w:szCs w:val="20"/>
        </w:rPr>
        <w:t>Receipts and P</w:t>
      </w:r>
      <w:r w:rsidR="00E433B0" w:rsidRPr="0049264E">
        <w:rPr>
          <w:rFonts w:ascii="Calibri" w:hAnsi="Calibri" w:cs="Calibri"/>
          <w:sz w:val="20"/>
          <w:szCs w:val="20"/>
        </w:rPr>
        <w:t>ayments or SOFA and related notes</w:t>
      </w:r>
    </w:p>
    <w:p w14:paraId="58B2D903" w14:textId="77777777" w:rsidR="00E433B0" w:rsidRPr="0049264E" w:rsidRDefault="00E433B0" w:rsidP="0049264E">
      <w:pPr>
        <w:numPr>
          <w:ilvl w:val="1"/>
          <w:numId w:val="3"/>
        </w:numPr>
        <w:jc w:val="both"/>
        <w:rPr>
          <w:rFonts w:ascii="Calibri" w:hAnsi="Calibri" w:cs="Calibri"/>
          <w:sz w:val="20"/>
          <w:szCs w:val="20"/>
        </w:rPr>
      </w:pPr>
      <w:r w:rsidRPr="0049264E">
        <w:rPr>
          <w:rFonts w:ascii="Calibri" w:hAnsi="Calibri" w:cs="Calibri"/>
          <w:sz w:val="20"/>
          <w:szCs w:val="20"/>
        </w:rPr>
        <w:t xml:space="preserve">Statements of </w:t>
      </w:r>
      <w:r w:rsidR="007541FE" w:rsidRPr="0049264E">
        <w:rPr>
          <w:rFonts w:ascii="Calibri" w:hAnsi="Calibri" w:cs="Calibri"/>
          <w:sz w:val="20"/>
          <w:szCs w:val="20"/>
        </w:rPr>
        <w:t>A</w:t>
      </w:r>
      <w:r w:rsidRPr="0049264E">
        <w:rPr>
          <w:rFonts w:ascii="Calibri" w:hAnsi="Calibri" w:cs="Calibri"/>
          <w:sz w:val="20"/>
          <w:szCs w:val="20"/>
        </w:rPr>
        <w:t xml:space="preserve">ssets &amp; </w:t>
      </w:r>
      <w:r w:rsidR="007541FE" w:rsidRPr="0049264E">
        <w:rPr>
          <w:rFonts w:ascii="Calibri" w:hAnsi="Calibri" w:cs="Calibri"/>
          <w:sz w:val="20"/>
          <w:szCs w:val="20"/>
        </w:rPr>
        <w:t>L</w:t>
      </w:r>
      <w:r w:rsidRPr="0049264E">
        <w:rPr>
          <w:rFonts w:ascii="Calibri" w:hAnsi="Calibri" w:cs="Calibri"/>
          <w:sz w:val="20"/>
          <w:szCs w:val="20"/>
        </w:rPr>
        <w:t xml:space="preserve">iabilities or Balance </w:t>
      </w:r>
      <w:r w:rsidR="007541FE" w:rsidRPr="0049264E">
        <w:rPr>
          <w:rFonts w:ascii="Calibri" w:hAnsi="Calibri" w:cs="Calibri"/>
          <w:sz w:val="20"/>
          <w:szCs w:val="20"/>
        </w:rPr>
        <w:t>S</w:t>
      </w:r>
      <w:r w:rsidRPr="0049264E">
        <w:rPr>
          <w:rFonts w:ascii="Calibri" w:hAnsi="Calibri" w:cs="Calibri"/>
          <w:sz w:val="20"/>
          <w:szCs w:val="20"/>
        </w:rPr>
        <w:t>heet and related notes</w:t>
      </w:r>
    </w:p>
    <w:p w14:paraId="603C35B5" w14:textId="77777777" w:rsidR="00E433B0" w:rsidRPr="0049264E" w:rsidRDefault="00E433B0" w:rsidP="0049264E">
      <w:pPr>
        <w:numPr>
          <w:ilvl w:val="1"/>
          <w:numId w:val="3"/>
        </w:numPr>
        <w:jc w:val="both"/>
        <w:rPr>
          <w:rFonts w:ascii="Calibri" w:hAnsi="Calibri" w:cs="Calibri"/>
          <w:sz w:val="20"/>
          <w:szCs w:val="20"/>
        </w:rPr>
      </w:pPr>
      <w:r w:rsidRPr="0049264E">
        <w:rPr>
          <w:rFonts w:ascii="Calibri" w:hAnsi="Calibri" w:cs="Calibri"/>
          <w:sz w:val="20"/>
          <w:szCs w:val="20"/>
        </w:rPr>
        <w:t xml:space="preserve">Independent </w:t>
      </w:r>
      <w:r w:rsidR="007541FE" w:rsidRPr="0049264E">
        <w:rPr>
          <w:rFonts w:ascii="Calibri" w:hAnsi="Calibri" w:cs="Calibri"/>
          <w:sz w:val="20"/>
          <w:szCs w:val="20"/>
        </w:rPr>
        <w:t>E</w:t>
      </w:r>
      <w:r w:rsidRPr="0049264E">
        <w:rPr>
          <w:rFonts w:ascii="Calibri" w:hAnsi="Calibri" w:cs="Calibri"/>
          <w:sz w:val="20"/>
          <w:szCs w:val="20"/>
        </w:rPr>
        <w:t xml:space="preserve">xamination or </w:t>
      </w:r>
      <w:r w:rsidR="007541FE" w:rsidRPr="0049264E">
        <w:rPr>
          <w:rFonts w:ascii="Calibri" w:hAnsi="Calibri" w:cs="Calibri"/>
          <w:sz w:val="20"/>
          <w:szCs w:val="20"/>
        </w:rPr>
        <w:t>A</w:t>
      </w:r>
      <w:r w:rsidRPr="0049264E">
        <w:rPr>
          <w:rFonts w:ascii="Calibri" w:hAnsi="Calibri" w:cs="Calibri"/>
          <w:sz w:val="20"/>
          <w:szCs w:val="20"/>
        </w:rPr>
        <w:t>udit by an appropriate person</w:t>
      </w:r>
    </w:p>
    <w:p w14:paraId="00E556FF" w14:textId="77777777" w:rsidR="00E433B0" w:rsidRPr="007541FE" w:rsidRDefault="00E433B0" w:rsidP="0009450E">
      <w:pPr>
        <w:spacing w:before="40"/>
        <w:ind w:left="1440"/>
        <w:jc w:val="both"/>
        <w:rPr>
          <w:rFonts w:ascii="Lato" w:hAnsi="Lato"/>
          <w:bCs/>
          <w:sz w:val="20"/>
          <w:szCs w:val="20"/>
          <w:lang w:val="en"/>
        </w:rPr>
      </w:pPr>
    </w:p>
    <w:p w14:paraId="794719DF" w14:textId="77777777" w:rsidR="00E433B0" w:rsidRPr="007541FE" w:rsidRDefault="00E433B0" w:rsidP="0009450E">
      <w:pPr>
        <w:numPr>
          <w:ilvl w:val="0"/>
          <w:numId w:val="3"/>
        </w:numPr>
        <w:ind w:left="720"/>
        <w:jc w:val="both"/>
        <w:rPr>
          <w:rFonts w:ascii="Calibri" w:hAnsi="Calibri" w:cs="Calibri"/>
          <w:sz w:val="20"/>
          <w:szCs w:val="20"/>
        </w:rPr>
      </w:pPr>
      <w:r w:rsidRPr="007541FE">
        <w:rPr>
          <w:rFonts w:ascii="Calibri" w:hAnsi="Calibri" w:cs="Calibri"/>
          <w:sz w:val="20"/>
          <w:szCs w:val="20"/>
        </w:rPr>
        <w:t>The Trustees</w:t>
      </w:r>
      <w:r w:rsidR="007541FE" w:rsidRPr="007541FE">
        <w:rPr>
          <w:rFonts w:ascii="Calibri" w:hAnsi="Calibri" w:cs="Calibri"/>
          <w:sz w:val="20"/>
          <w:szCs w:val="20"/>
        </w:rPr>
        <w:t>’</w:t>
      </w:r>
      <w:r w:rsidRPr="007541FE">
        <w:rPr>
          <w:rFonts w:ascii="Calibri" w:hAnsi="Calibri" w:cs="Calibri"/>
          <w:sz w:val="20"/>
          <w:szCs w:val="20"/>
        </w:rPr>
        <w:t xml:space="preserve"> Report does not </w:t>
      </w:r>
      <w:r w:rsidR="00055222" w:rsidRPr="007541FE">
        <w:rPr>
          <w:rFonts w:ascii="Calibri" w:hAnsi="Calibri" w:cs="Calibri"/>
          <w:sz w:val="20"/>
          <w:szCs w:val="20"/>
        </w:rPr>
        <w:t xml:space="preserve">always </w:t>
      </w:r>
      <w:r w:rsidRPr="007541FE">
        <w:rPr>
          <w:rFonts w:ascii="Calibri" w:hAnsi="Calibri" w:cs="Calibri"/>
          <w:sz w:val="20"/>
          <w:szCs w:val="20"/>
        </w:rPr>
        <w:t xml:space="preserve">contain the information required by the Charity </w:t>
      </w:r>
      <w:r w:rsidR="0009450E" w:rsidRPr="007541FE">
        <w:rPr>
          <w:rFonts w:ascii="Calibri" w:hAnsi="Calibri" w:cs="Calibri"/>
          <w:sz w:val="20"/>
          <w:szCs w:val="20"/>
        </w:rPr>
        <w:t>SORP</w:t>
      </w:r>
      <w:r w:rsidRPr="007541FE">
        <w:rPr>
          <w:rFonts w:ascii="Calibri" w:hAnsi="Calibri" w:cs="Calibri"/>
          <w:sz w:val="20"/>
          <w:szCs w:val="20"/>
        </w:rPr>
        <w:t xml:space="preserve"> (i.e. it should include details about the aims, objectives, </w:t>
      </w:r>
      <w:r w:rsidR="0009450E" w:rsidRPr="007541FE">
        <w:rPr>
          <w:rFonts w:ascii="Calibri" w:hAnsi="Calibri" w:cs="Calibri"/>
          <w:sz w:val="20"/>
          <w:szCs w:val="20"/>
        </w:rPr>
        <w:t xml:space="preserve">achievements, </w:t>
      </w:r>
      <w:r w:rsidRPr="007541FE">
        <w:rPr>
          <w:rFonts w:ascii="Calibri" w:hAnsi="Calibri" w:cs="Calibri"/>
          <w:sz w:val="20"/>
          <w:szCs w:val="20"/>
        </w:rPr>
        <w:t>finance review, reserves policy, plans and admin</w:t>
      </w:r>
      <w:r w:rsidR="0009450E" w:rsidRPr="007541FE">
        <w:rPr>
          <w:rFonts w:ascii="Calibri" w:hAnsi="Calibri" w:cs="Calibri"/>
          <w:sz w:val="20"/>
          <w:szCs w:val="20"/>
        </w:rPr>
        <w:t>/governance</w:t>
      </w:r>
      <w:r w:rsidRPr="007541FE">
        <w:rPr>
          <w:rFonts w:ascii="Calibri" w:hAnsi="Calibri" w:cs="Calibri"/>
          <w:sz w:val="20"/>
          <w:szCs w:val="20"/>
        </w:rPr>
        <w:t xml:space="preserve"> details) </w:t>
      </w:r>
    </w:p>
    <w:p w14:paraId="37B88AC8" w14:textId="77777777" w:rsidR="00E433B0" w:rsidRPr="007541FE" w:rsidRDefault="00E433B0" w:rsidP="0009450E">
      <w:pPr>
        <w:ind w:left="720"/>
        <w:jc w:val="both"/>
        <w:rPr>
          <w:rFonts w:ascii="Calibri" w:hAnsi="Calibri" w:cs="Calibri"/>
          <w:sz w:val="20"/>
          <w:szCs w:val="20"/>
        </w:rPr>
      </w:pPr>
    </w:p>
    <w:p w14:paraId="3DB0E8F5" w14:textId="77777777" w:rsidR="00E433B0" w:rsidRPr="007541FE" w:rsidRDefault="00E433B0" w:rsidP="0009450E">
      <w:pPr>
        <w:numPr>
          <w:ilvl w:val="0"/>
          <w:numId w:val="3"/>
        </w:numPr>
        <w:ind w:left="720"/>
        <w:jc w:val="both"/>
        <w:rPr>
          <w:rFonts w:ascii="Calibri" w:hAnsi="Calibri" w:cs="Calibri"/>
          <w:sz w:val="20"/>
          <w:szCs w:val="20"/>
        </w:rPr>
      </w:pPr>
      <w:r w:rsidRPr="007541FE">
        <w:rPr>
          <w:rFonts w:ascii="Calibri" w:hAnsi="Calibri" w:cs="Calibri"/>
          <w:sz w:val="20"/>
          <w:szCs w:val="20"/>
        </w:rPr>
        <w:t xml:space="preserve">There is not always an </w:t>
      </w:r>
      <w:r w:rsidR="007541FE" w:rsidRPr="007541FE">
        <w:rPr>
          <w:rFonts w:ascii="Calibri" w:hAnsi="Calibri" w:cs="Calibri"/>
          <w:sz w:val="20"/>
          <w:szCs w:val="20"/>
        </w:rPr>
        <w:t>I</w:t>
      </w:r>
      <w:r w:rsidRPr="007541FE">
        <w:rPr>
          <w:rFonts w:ascii="Calibri" w:hAnsi="Calibri" w:cs="Calibri"/>
          <w:sz w:val="20"/>
          <w:szCs w:val="20"/>
        </w:rPr>
        <w:t xml:space="preserve">ndependent </w:t>
      </w:r>
      <w:r w:rsidR="007541FE" w:rsidRPr="007541FE">
        <w:rPr>
          <w:rFonts w:ascii="Calibri" w:hAnsi="Calibri" w:cs="Calibri"/>
          <w:sz w:val="20"/>
          <w:szCs w:val="20"/>
        </w:rPr>
        <w:t>E</w:t>
      </w:r>
      <w:r w:rsidRPr="007541FE">
        <w:rPr>
          <w:rFonts w:ascii="Calibri" w:hAnsi="Calibri" w:cs="Calibri"/>
          <w:sz w:val="20"/>
          <w:szCs w:val="20"/>
        </w:rPr>
        <w:t>xamination</w:t>
      </w:r>
      <w:r w:rsidR="00055222" w:rsidRPr="007541FE">
        <w:rPr>
          <w:rFonts w:ascii="Calibri" w:hAnsi="Calibri" w:cs="Calibri"/>
          <w:sz w:val="20"/>
          <w:szCs w:val="20"/>
        </w:rPr>
        <w:t xml:space="preserve"> submitted</w:t>
      </w:r>
      <w:r w:rsidRPr="007541FE">
        <w:rPr>
          <w:rFonts w:ascii="Calibri" w:hAnsi="Calibri" w:cs="Calibri"/>
          <w:sz w:val="20"/>
          <w:szCs w:val="20"/>
        </w:rPr>
        <w:t xml:space="preserve">.  All PCCs need one regardless of their size. </w:t>
      </w:r>
    </w:p>
    <w:p w14:paraId="46E5D1BA" w14:textId="77777777" w:rsidR="00E433B0" w:rsidRPr="007541FE" w:rsidRDefault="00E433B0" w:rsidP="0009450E">
      <w:pPr>
        <w:pStyle w:val="ListParagraph"/>
        <w:ind w:left="1080"/>
        <w:rPr>
          <w:rFonts w:ascii="Calibri" w:hAnsi="Calibri" w:cs="Calibri"/>
          <w:sz w:val="20"/>
          <w:szCs w:val="20"/>
        </w:rPr>
      </w:pPr>
    </w:p>
    <w:p w14:paraId="79AB946C" w14:textId="77777777" w:rsidR="00E433B0" w:rsidRPr="007541FE" w:rsidRDefault="00E433B0" w:rsidP="0009450E">
      <w:pPr>
        <w:numPr>
          <w:ilvl w:val="0"/>
          <w:numId w:val="3"/>
        </w:numPr>
        <w:ind w:left="720"/>
        <w:jc w:val="both"/>
        <w:rPr>
          <w:rFonts w:ascii="Calibri" w:hAnsi="Calibri" w:cs="Calibri"/>
          <w:sz w:val="20"/>
          <w:szCs w:val="20"/>
        </w:rPr>
      </w:pPr>
      <w:r w:rsidRPr="007541FE">
        <w:rPr>
          <w:rFonts w:ascii="Calibri" w:hAnsi="Calibri" w:cs="Calibri"/>
          <w:sz w:val="20"/>
          <w:szCs w:val="20"/>
        </w:rPr>
        <w:t>The</w:t>
      </w:r>
      <w:r w:rsidR="0009450E" w:rsidRPr="007541FE">
        <w:rPr>
          <w:rFonts w:ascii="Calibri" w:hAnsi="Calibri" w:cs="Calibri"/>
          <w:sz w:val="20"/>
          <w:szCs w:val="20"/>
        </w:rPr>
        <w:t xml:space="preserve"> PCC is</w:t>
      </w:r>
      <w:r w:rsidRPr="007541FE">
        <w:rPr>
          <w:rFonts w:ascii="Calibri" w:hAnsi="Calibri" w:cs="Calibri"/>
          <w:sz w:val="20"/>
          <w:szCs w:val="20"/>
        </w:rPr>
        <w:t xml:space="preserve"> not always registered with Charity </w:t>
      </w:r>
      <w:r w:rsidR="007541FE" w:rsidRPr="007541FE">
        <w:rPr>
          <w:rFonts w:ascii="Calibri" w:hAnsi="Calibri" w:cs="Calibri"/>
          <w:sz w:val="20"/>
          <w:szCs w:val="20"/>
        </w:rPr>
        <w:t>C</w:t>
      </w:r>
      <w:r w:rsidRPr="007541FE">
        <w:rPr>
          <w:rFonts w:ascii="Calibri" w:hAnsi="Calibri" w:cs="Calibri"/>
          <w:sz w:val="20"/>
          <w:szCs w:val="20"/>
        </w:rPr>
        <w:t xml:space="preserve">ommission when </w:t>
      </w:r>
      <w:r w:rsidR="0009450E" w:rsidRPr="007541FE">
        <w:rPr>
          <w:rFonts w:ascii="Calibri" w:hAnsi="Calibri" w:cs="Calibri"/>
          <w:sz w:val="20"/>
          <w:szCs w:val="20"/>
        </w:rPr>
        <w:t>it</w:t>
      </w:r>
      <w:r w:rsidRPr="007541FE">
        <w:rPr>
          <w:rFonts w:ascii="Calibri" w:hAnsi="Calibri" w:cs="Calibri"/>
          <w:sz w:val="20"/>
          <w:szCs w:val="20"/>
        </w:rPr>
        <w:t xml:space="preserve"> should be.  The current rule is that if the aggregated income of the PCC is over £100k it needs to register (unless it is a one off</w:t>
      </w:r>
      <w:r w:rsidR="007541FE" w:rsidRPr="007541FE">
        <w:rPr>
          <w:rFonts w:ascii="Calibri" w:hAnsi="Calibri" w:cs="Calibri"/>
          <w:sz w:val="20"/>
          <w:szCs w:val="20"/>
        </w:rPr>
        <w:t xml:space="preserve">, in which case </w:t>
      </w:r>
      <w:r w:rsidRPr="007541FE">
        <w:rPr>
          <w:rFonts w:ascii="Calibri" w:hAnsi="Calibri" w:cs="Calibri"/>
          <w:sz w:val="20"/>
          <w:szCs w:val="20"/>
        </w:rPr>
        <w:t>a dispensation can be applied for)</w:t>
      </w:r>
      <w:r w:rsidR="0009450E" w:rsidRPr="007541FE">
        <w:rPr>
          <w:rFonts w:ascii="Calibri" w:hAnsi="Calibri" w:cs="Calibri"/>
          <w:sz w:val="20"/>
          <w:szCs w:val="20"/>
        </w:rPr>
        <w:t xml:space="preserve">. This limit is expected to reduce in the future. </w:t>
      </w:r>
    </w:p>
    <w:p w14:paraId="4669FADB" w14:textId="77777777" w:rsidR="0009450E" w:rsidRPr="007541FE" w:rsidRDefault="0009450E" w:rsidP="0009450E">
      <w:pPr>
        <w:pStyle w:val="ListParagraph"/>
        <w:ind w:left="1080"/>
        <w:rPr>
          <w:rFonts w:ascii="Calibri" w:hAnsi="Calibri" w:cs="Calibri"/>
          <w:sz w:val="20"/>
          <w:szCs w:val="20"/>
        </w:rPr>
      </w:pPr>
    </w:p>
    <w:p w14:paraId="6AC974B4" w14:textId="77777777" w:rsidR="0009450E" w:rsidRPr="007541FE" w:rsidRDefault="0009450E" w:rsidP="0009450E">
      <w:pPr>
        <w:numPr>
          <w:ilvl w:val="0"/>
          <w:numId w:val="3"/>
        </w:numPr>
        <w:ind w:left="720"/>
        <w:jc w:val="both"/>
        <w:rPr>
          <w:rFonts w:ascii="Calibri" w:hAnsi="Calibri" w:cs="Calibri"/>
          <w:sz w:val="20"/>
          <w:szCs w:val="20"/>
        </w:rPr>
      </w:pPr>
      <w:r w:rsidRPr="007541FE">
        <w:rPr>
          <w:rFonts w:ascii="Calibri" w:hAnsi="Calibri" w:cs="Calibri"/>
          <w:sz w:val="20"/>
          <w:szCs w:val="20"/>
        </w:rPr>
        <w:t xml:space="preserve">In some cases the </w:t>
      </w:r>
      <w:r w:rsidR="00055222" w:rsidRPr="007541FE">
        <w:rPr>
          <w:rFonts w:ascii="Calibri" w:hAnsi="Calibri" w:cs="Calibri"/>
          <w:sz w:val="20"/>
          <w:szCs w:val="20"/>
        </w:rPr>
        <w:t>Annual Report</w:t>
      </w:r>
      <w:r w:rsidRPr="007541FE">
        <w:rPr>
          <w:rFonts w:ascii="Calibri" w:hAnsi="Calibri" w:cs="Calibri"/>
          <w:sz w:val="20"/>
          <w:szCs w:val="20"/>
        </w:rPr>
        <w:t xml:space="preserve"> and Accounts are not being submitted at all, despite it being a requirement under the Church Representation Rules that they</w:t>
      </w:r>
      <w:r w:rsidR="009D5A2C" w:rsidRPr="007541FE">
        <w:rPr>
          <w:rFonts w:ascii="Calibri" w:hAnsi="Calibri" w:cs="Calibri"/>
          <w:sz w:val="20"/>
          <w:szCs w:val="20"/>
        </w:rPr>
        <w:t xml:space="preserve"> </w:t>
      </w:r>
      <w:r w:rsidRPr="007541FE">
        <w:rPr>
          <w:rFonts w:ascii="Calibri" w:hAnsi="Calibri" w:cs="Calibri"/>
          <w:sz w:val="20"/>
          <w:szCs w:val="20"/>
        </w:rPr>
        <w:t xml:space="preserve">are submitted </w:t>
      </w:r>
      <w:r w:rsidR="007541FE" w:rsidRPr="007541FE">
        <w:rPr>
          <w:rFonts w:ascii="Calibri" w:hAnsi="Calibri" w:cs="Calibri"/>
          <w:sz w:val="20"/>
          <w:szCs w:val="20"/>
        </w:rPr>
        <w:t xml:space="preserve">by the PCC Trustees </w:t>
      </w:r>
      <w:r w:rsidRPr="007541FE">
        <w:rPr>
          <w:rFonts w:ascii="Calibri" w:hAnsi="Calibri" w:cs="Calibri"/>
          <w:sz w:val="20"/>
          <w:szCs w:val="20"/>
        </w:rPr>
        <w:t>to the Diocese within 28</w:t>
      </w:r>
      <w:r w:rsidR="007541FE">
        <w:rPr>
          <w:rFonts w:ascii="Calibri" w:hAnsi="Calibri" w:cs="Calibri"/>
          <w:sz w:val="20"/>
          <w:szCs w:val="20"/>
        </w:rPr>
        <w:t xml:space="preserve"> days o</w:t>
      </w:r>
      <w:r w:rsidR="000319E4">
        <w:rPr>
          <w:rFonts w:ascii="Calibri" w:hAnsi="Calibri" w:cs="Calibri"/>
          <w:sz w:val="20"/>
          <w:szCs w:val="20"/>
        </w:rPr>
        <w:t xml:space="preserve">f the </w:t>
      </w:r>
      <w:r w:rsidRPr="007541FE">
        <w:rPr>
          <w:rFonts w:ascii="Calibri" w:hAnsi="Calibri" w:cs="Calibri"/>
          <w:sz w:val="20"/>
          <w:szCs w:val="20"/>
        </w:rPr>
        <w:t xml:space="preserve">PCC’s Annual Parochial Church Meeting. </w:t>
      </w:r>
    </w:p>
    <w:p w14:paraId="4D8F12BA" w14:textId="77777777" w:rsidR="009D5A2C" w:rsidRPr="007541FE" w:rsidRDefault="009D5A2C" w:rsidP="00E433B0">
      <w:pPr>
        <w:jc w:val="both"/>
        <w:rPr>
          <w:sz w:val="20"/>
          <w:szCs w:val="20"/>
        </w:rPr>
      </w:pPr>
    </w:p>
    <w:p w14:paraId="04CE54CC" w14:textId="77777777" w:rsidR="0009450E" w:rsidRPr="007541FE" w:rsidRDefault="00E433B0" w:rsidP="00E433B0">
      <w:pPr>
        <w:jc w:val="both"/>
        <w:rPr>
          <w:sz w:val="20"/>
          <w:szCs w:val="20"/>
        </w:rPr>
      </w:pPr>
      <w:r w:rsidRPr="007541FE">
        <w:rPr>
          <w:sz w:val="20"/>
          <w:szCs w:val="20"/>
        </w:rPr>
        <w:t xml:space="preserve">Various guidance is available </w:t>
      </w:r>
      <w:r w:rsidR="009D5A2C" w:rsidRPr="007541FE">
        <w:rPr>
          <w:sz w:val="20"/>
          <w:szCs w:val="20"/>
        </w:rPr>
        <w:t>including:</w:t>
      </w:r>
    </w:p>
    <w:p w14:paraId="7A97C6CF" w14:textId="77777777" w:rsidR="009D5A2C" w:rsidRPr="007541FE" w:rsidRDefault="00F92842" w:rsidP="00F92842">
      <w:pPr>
        <w:numPr>
          <w:ilvl w:val="0"/>
          <w:numId w:val="3"/>
        </w:numPr>
        <w:ind w:left="720"/>
        <w:rPr>
          <w:sz w:val="20"/>
          <w:szCs w:val="20"/>
        </w:rPr>
      </w:pPr>
      <w:r w:rsidRPr="007541FE">
        <w:rPr>
          <w:rFonts w:ascii="Calibri" w:hAnsi="Calibri" w:cs="Calibri"/>
          <w:sz w:val="20"/>
          <w:szCs w:val="20"/>
        </w:rPr>
        <w:t>‘</w:t>
      </w:r>
      <w:r w:rsidR="009D5A2C" w:rsidRPr="007541FE">
        <w:rPr>
          <w:rFonts w:ascii="Calibri" w:hAnsi="Calibri" w:cs="Calibri"/>
          <w:sz w:val="20"/>
          <w:szCs w:val="20"/>
        </w:rPr>
        <w:t>PCC accountability</w:t>
      </w:r>
      <w:r w:rsidRPr="007541FE">
        <w:rPr>
          <w:rFonts w:ascii="Calibri" w:hAnsi="Calibri" w:cs="Calibri"/>
          <w:sz w:val="20"/>
          <w:szCs w:val="20"/>
        </w:rPr>
        <w:t xml:space="preserve">: The </w:t>
      </w:r>
      <w:r w:rsidR="00055222" w:rsidRPr="007541FE">
        <w:rPr>
          <w:rFonts w:ascii="Calibri" w:hAnsi="Calibri" w:cs="Calibri"/>
          <w:sz w:val="20"/>
          <w:szCs w:val="20"/>
        </w:rPr>
        <w:t>Charities</w:t>
      </w:r>
      <w:r w:rsidRPr="007541FE">
        <w:rPr>
          <w:rFonts w:ascii="Calibri" w:hAnsi="Calibri" w:cs="Calibri"/>
          <w:sz w:val="20"/>
          <w:szCs w:val="20"/>
        </w:rPr>
        <w:t xml:space="preserve"> Act 2011 and the PCC’</w:t>
      </w:r>
      <w:r w:rsidR="009D5A2C" w:rsidRPr="007541FE">
        <w:rPr>
          <w:rFonts w:ascii="Calibri" w:hAnsi="Calibri" w:cs="Calibri"/>
          <w:sz w:val="20"/>
          <w:szCs w:val="20"/>
        </w:rPr>
        <w:t xml:space="preserve">.  This is an excellent guide from the Church of England providing lots of detail about </w:t>
      </w:r>
      <w:r w:rsidR="00055222" w:rsidRPr="007541FE">
        <w:rPr>
          <w:rFonts w:ascii="Calibri" w:hAnsi="Calibri" w:cs="Calibri"/>
          <w:sz w:val="20"/>
          <w:szCs w:val="20"/>
        </w:rPr>
        <w:t>preparing</w:t>
      </w:r>
      <w:r w:rsidR="009D5A2C" w:rsidRPr="007541FE">
        <w:rPr>
          <w:rFonts w:ascii="Calibri" w:hAnsi="Calibri" w:cs="Calibri"/>
          <w:sz w:val="20"/>
          <w:szCs w:val="20"/>
        </w:rPr>
        <w:t xml:space="preserve"> the year end annual report and accounts</w:t>
      </w:r>
      <w:r w:rsidRPr="007541FE">
        <w:rPr>
          <w:rFonts w:ascii="Calibri" w:hAnsi="Calibri" w:cs="Calibri"/>
          <w:sz w:val="20"/>
          <w:szCs w:val="20"/>
        </w:rPr>
        <w:t xml:space="preserve">, independent examination and </w:t>
      </w:r>
      <w:r w:rsidR="009D5A2C" w:rsidRPr="007541FE">
        <w:rPr>
          <w:rFonts w:ascii="Calibri" w:hAnsi="Calibri" w:cs="Calibri"/>
          <w:sz w:val="20"/>
          <w:szCs w:val="20"/>
        </w:rPr>
        <w:t xml:space="preserve">it also </w:t>
      </w:r>
      <w:r w:rsidRPr="007541FE">
        <w:rPr>
          <w:rFonts w:ascii="Calibri" w:hAnsi="Calibri" w:cs="Calibri"/>
          <w:sz w:val="20"/>
          <w:szCs w:val="20"/>
        </w:rPr>
        <w:t>i</w:t>
      </w:r>
      <w:r w:rsidR="009D5A2C" w:rsidRPr="007541FE">
        <w:rPr>
          <w:rFonts w:ascii="Calibri" w:hAnsi="Calibri" w:cs="Calibri"/>
          <w:sz w:val="20"/>
          <w:szCs w:val="20"/>
        </w:rPr>
        <w:t>n</w:t>
      </w:r>
      <w:r w:rsidRPr="007541FE">
        <w:rPr>
          <w:rFonts w:ascii="Calibri" w:hAnsi="Calibri" w:cs="Calibri"/>
          <w:sz w:val="20"/>
          <w:szCs w:val="20"/>
        </w:rPr>
        <w:t>c</w:t>
      </w:r>
      <w:r w:rsidR="009D5A2C" w:rsidRPr="007541FE">
        <w:rPr>
          <w:rFonts w:ascii="Calibri" w:hAnsi="Calibri" w:cs="Calibri"/>
          <w:sz w:val="20"/>
          <w:szCs w:val="20"/>
        </w:rPr>
        <w:t>l</w:t>
      </w:r>
      <w:r w:rsidRPr="007541FE">
        <w:rPr>
          <w:rFonts w:ascii="Calibri" w:hAnsi="Calibri" w:cs="Calibri"/>
          <w:sz w:val="20"/>
          <w:szCs w:val="20"/>
        </w:rPr>
        <w:t>u</w:t>
      </w:r>
      <w:r w:rsidR="009D5A2C" w:rsidRPr="007541FE">
        <w:rPr>
          <w:rFonts w:ascii="Calibri" w:hAnsi="Calibri" w:cs="Calibri"/>
          <w:sz w:val="20"/>
          <w:szCs w:val="20"/>
        </w:rPr>
        <w:t xml:space="preserve">des full sets of model </w:t>
      </w:r>
      <w:r w:rsidR="00055222" w:rsidRPr="007541FE">
        <w:rPr>
          <w:rFonts w:ascii="Calibri" w:hAnsi="Calibri" w:cs="Calibri"/>
          <w:sz w:val="20"/>
          <w:szCs w:val="20"/>
        </w:rPr>
        <w:t>accounts</w:t>
      </w:r>
      <w:r w:rsidR="009D5A2C" w:rsidRPr="007541FE">
        <w:rPr>
          <w:rFonts w:ascii="Calibri" w:hAnsi="Calibri" w:cs="Calibri"/>
          <w:sz w:val="20"/>
          <w:szCs w:val="20"/>
        </w:rPr>
        <w:t>.  It</w:t>
      </w:r>
      <w:r w:rsidRPr="007541FE">
        <w:rPr>
          <w:rFonts w:ascii="Calibri" w:hAnsi="Calibri" w:cs="Calibri"/>
          <w:sz w:val="20"/>
          <w:szCs w:val="20"/>
        </w:rPr>
        <w:t xml:space="preserve"> i</w:t>
      </w:r>
      <w:r w:rsidR="009D5A2C" w:rsidRPr="007541FE">
        <w:rPr>
          <w:rFonts w:ascii="Calibri" w:hAnsi="Calibri" w:cs="Calibri"/>
          <w:sz w:val="20"/>
          <w:szCs w:val="20"/>
        </w:rPr>
        <w:t xml:space="preserve">s available </w:t>
      </w:r>
      <w:r w:rsidRPr="007541FE">
        <w:rPr>
          <w:rFonts w:ascii="Calibri" w:hAnsi="Calibri" w:cs="Calibri"/>
          <w:sz w:val="20"/>
          <w:szCs w:val="20"/>
        </w:rPr>
        <w:t xml:space="preserve">as both a book and online </w:t>
      </w:r>
      <w:r w:rsidR="009D5A2C" w:rsidRPr="007541FE">
        <w:rPr>
          <w:rFonts w:ascii="Calibri" w:hAnsi="Calibri" w:cs="Calibri"/>
          <w:sz w:val="20"/>
          <w:szCs w:val="20"/>
        </w:rPr>
        <w:t xml:space="preserve">on the </w:t>
      </w:r>
      <w:r w:rsidR="00055222" w:rsidRPr="007541FE">
        <w:rPr>
          <w:rFonts w:ascii="Calibri" w:hAnsi="Calibri" w:cs="Calibri"/>
          <w:sz w:val="20"/>
          <w:szCs w:val="20"/>
        </w:rPr>
        <w:t>Church</w:t>
      </w:r>
      <w:r w:rsidR="009D5A2C" w:rsidRPr="007541FE">
        <w:rPr>
          <w:rFonts w:ascii="Calibri" w:hAnsi="Calibri" w:cs="Calibri"/>
          <w:sz w:val="20"/>
          <w:szCs w:val="20"/>
        </w:rPr>
        <w:t xml:space="preserve"> of </w:t>
      </w:r>
      <w:r w:rsidR="00055222" w:rsidRPr="007541FE">
        <w:rPr>
          <w:rFonts w:ascii="Calibri" w:hAnsi="Calibri" w:cs="Calibri"/>
          <w:sz w:val="20"/>
          <w:szCs w:val="20"/>
        </w:rPr>
        <w:t>England</w:t>
      </w:r>
      <w:r w:rsidR="009D5A2C" w:rsidRPr="007541FE">
        <w:rPr>
          <w:rFonts w:ascii="Calibri" w:hAnsi="Calibri" w:cs="Calibri"/>
          <w:sz w:val="20"/>
          <w:szCs w:val="20"/>
        </w:rPr>
        <w:t xml:space="preserve"> website</w:t>
      </w:r>
      <w:r w:rsidRPr="007541FE">
        <w:rPr>
          <w:rFonts w:ascii="Calibri" w:hAnsi="Calibri" w:cs="Calibri"/>
          <w:sz w:val="20"/>
          <w:szCs w:val="20"/>
        </w:rPr>
        <w:t xml:space="preserve"> (</w:t>
      </w:r>
      <w:hyperlink r:id="rId5" w:history="1">
        <w:r w:rsidR="009D5A2C" w:rsidRPr="007541FE">
          <w:rPr>
            <w:rStyle w:val="Hyperlink"/>
            <w:rFonts w:ascii="Lato" w:hAnsi="Lato"/>
            <w:sz w:val="20"/>
            <w:szCs w:val="20"/>
            <w:lang w:val="en"/>
          </w:rPr>
          <w:t>www.churchofengland.org/more/policy-and-thinking/pcc-accountability-guide</w:t>
        </w:r>
      </w:hyperlink>
      <w:r w:rsidRPr="007541FE">
        <w:rPr>
          <w:rFonts w:ascii="Lato" w:hAnsi="Lato"/>
          <w:sz w:val="20"/>
          <w:szCs w:val="20"/>
          <w:lang w:val="en"/>
        </w:rPr>
        <w:t>)</w:t>
      </w:r>
      <w:r w:rsidR="009D5A2C" w:rsidRPr="007541FE">
        <w:rPr>
          <w:rFonts w:ascii="Lato" w:hAnsi="Lato"/>
          <w:sz w:val="20"/>
          <w:szCs w:val="20"/>
          <w:lang w:val="en"/>
        </w:rPr>
        <w:t xml:space="preserve">.  </w:t>
      </w:r>
    </w:p>
    <w:p w14:paraId="2BB2F5F3" w14:textId="77777777" w:rsidR="00F92842" w:rsidRPr="007541FE" w:rsidRDefault="00F92842" w:rsidP="00F92842">
      <w:pPr>
        <w:jc w:val="both"/>
        <w:rPr>
          <w:rFonts w:ascii="Lato" w:hAnsi="Lato"/>
          <w:sz w:val="20"/>
          <w:szCs w:val="20"/>
          <w:lang w:val="en"/>
        </w:rPr>
      </w:pPr>
    </w:p>
    <w:p w14:paraId="0B9243C5" w14:textId="77777777" w:rsidR="00F92842" w:rsidRPr="007541FE" w:rsidRDefault="00F92842" w:rsidP="00F92842">
      <w:pPr>
        <w:numPr>
          <w:ilvl w:val="0"/>
          <w:numId w:val="3"/>
        </w:numPr>
        <w:ind w:left="720"/>
        <w:rPr>
          <w:sz w:val="20"/>
          <w:szCs w:val="20"/>
        </w:rPr>
      </w:pPr>
      <w:r w:rsidRPr="0049264E">
        <w:rPr>
          <w:rFonts w:ascii="Calibri" w:hAnsi="Calibri" w:cs="Calibri"/>
          <w:sz w:val="20"/>
          <w:szCs w:val="20"/>
        </w:rPr>
        <w:t xml:space="preserve">The </w:t>
      </w:r>
      <w:r w:rsidRPr="007541FE">
        <w:rPr>
          <w:rFonts w:ascii="Calibri" w:hAnsi="Calibri" w:cs="Calibri"/>
          <w:sz w:val="20"/>
          <w:szCs w:val="20"/>
        </w:rPr>
        <w:t>Church</w:t>
      </w:r>
      <w:r w:rsidRPr="0049264E">
        <w:rPr>
          <w:rFonts w:ascii="Calibri" w:hAnsi="Calibri" w:cs="Calibri"/>
          <w:sz w:val="20"/>
          <w:szCs w:val="20"/>
        </w:rPr>
        <w:t xml:space="preserve"> of </w:t>
      </w:r>
      <w:r w:rsidR="00055222" w:rsidRPr="007541FE">
        <w:rPr>
          <w:rFonts w:ascii="Calibri" w:hAnsi="Calibri" w:cs="Calibri"/>
          <w:sz w:val="20"/>
          <w:szCs w:val="20"/>
        </w:rPr>
        <w:t>England</w:t>
      </w:r>
      <w:r w:rsidR="00713E03" w:rsidRPr="0049264E">
        <w:rPr>
          <w:rFonts w:ascii="Calibri" w:hAnsi="Calibri" w:cs="Calibri"/>
          <w:sz w:val="20"/>
          <w:szCs w:val="20"/>
        </w:rPr>
        <w:t xml:space="preserve"> Parish R</w:t>
      </w:r>
      <w:r w:rsidRPr="0049264E">
        <w:rPr>
          <w:rFonts w:ascii="Calibri" w:hAnsi="Calibri" w:cs="Calibri"/>
          <w:sz w:val="20"/>
          <w:szCs w:val="20"/>
        </w:rPr>
        <w:t xml:space="preserve">esources website also has various relevant guidance – </w:t>
      </w:r>
      <w:r w:rsidR="00055222" w:rsidRPr="0049264E">
        <w:rPr>
          <w:rFonts w:ascii="Calibri" w:hAnsi="Calibri" w:cs="Calibri"/>
          <w:sz w:val="20"/>
          <w:szCs w:val="20"/>
        </w:rPr>
        <w:t>including</w:t>
      </w:r>
      <w:r w:rsidRPr="0049264E">
        <w:rPr>
          <w:rFonts w:ascii="Calibri" w:hAnsi="Calibri" w:cs="Calibri"/>
          <w:sz w:val="20"/>
          <w:szCs w:val="20"/>
        </w:rPr>
        <w:t xml:space="preserve"> about writing the Trustees’ Annual report</w:t>
      </w:r>
      <w:r w:rsidRPr="007541FE">
        <w:rPr>
          <w:rFonts w:ascii="Lato" w:hAnsi="Lato"/>
          <w:sz w:val="20"/>
          <w:szCs w:val="20"/>
          <w:lang w:val="en"/>
        </w:rPr>
        <w:t xml:space="preserve"> (</w:t>
      </w:r>
      <w:r w:rsidR="00055222" w:rsidRPr="007541FE">
        <w:rPr>
          <w:rFonts w:ascii="Lato" w:hAnsi="Lato"/>
          <w:sz w:val="20"/>
          <w:szCs w:val="20"/>
          <w:lang w:val="en"/>
        </w:rPr>
        <w:t xml:space="preserve"> </w:t>
      </w:r>
      <w:hyperlink r:id="rId6" w:history="1">
        <w:r w:rsidR="00055222" w:rsidRPr="007541FE">
          <w:rPr>
            <w:rStyle w:val="Hyperlink"/>
            <w:rFonts w:ascii="Lato" w:hAnsi="Lato"/>
            <w:sz w:val="20"/>
            <w:szCs w:val="20"/>
            <w:lang w:val="en"/>
          </w:rPr>
          <w:t>www.parishresources.org.uk/wp-content/uploads/tar.pdf</w:t>
        </w:r>
      </w:hyperlink>
      <w:r w:rsidRPr="007541FE">
        <w:rPr>
          <w:rFonts w:ascii="Lato" w:hAnsi="Lato"/>
          <w:sz w:val="20"/>
          <w:szCs w:val="20"/>
          <w:lang w:val="en"/>
        </w:rPr>
        <w:t>)</w:t>
      </w:r>
      <w:r w:rsidR="00055222" w:rsidRPr="007541FE">
        <w:rPr>
          <w:rFonts w:ascii="Lato" w:hAnsi="Lato"/>
          <w:sz w:val="20"/>
          <w:szCs w:val="20"/>
          <w:lang w:val="en"/>
        </w:rPr>
        <w:t xml:space="preserve">  </w:t>
      </w:r>
    </w:p>
    <w:p w14:paraId="053EA3E7" w14:textId="77777777" w:rsidR="00F92842" w:rsidRPr="007541FE" w:rsidRDefault="00F92842" w:rsidP="00F92842">
      <w:pPr>
        <w:pStyle w:val="ListParagraph"/>
        <w:rPr>
          <w:sz w:val="20"/>
          <w:szCs w:val="20"/>
        </w:rPr>
      </w:pPr>
    </w:p>
    <w:p w14:paraId="4F228565" w14:textId="77777777" w:rsidR="00F92842" w:rsidRDefault="00055222" w:rsidP="00055222">
      <w:pPr>
        <w:numPr>
          <w:ilvl w:val="0"/>
          <w:numId w:val="3"/>
        </w:numPr>
        <w:ind w:left="720"/>
        <w:rPr>
          <w:sz w:val="20"/>
          <w:szCs w:val="20"/>
        </w:rPr>
      </w:pPr>
      <w:r w:rsidRPr="007541FE">
        <w:rPr>
          <w:rFonts w:ascii="Calibri" w:hAnsi="Calibri" w:cs="Calibri"/>
          <w:sz w:val="20"/>
          <w:szCs w:val="20"/>
        </w:rPr>
        <w:t xml:space="preserve">Also the </w:t>
      </w:r>
      <w:r w:rsidR="00F92842" w:rsidRPr="007541FE">
        <w:rPr>
          <w:rFonts w:ascii="Calibri" w:hAnsi="Calibri" w:cs="Calibri"/>
          <w:sz w:val="20"/>
          <w:szCs w:val="20"/>
        </w:rPr>
        <w:t>Charity</w:t>
      </w:r>
      <w:r w:rsidR="00F92842" w:rsidRPr="007541FE">
        <w:rPr>
          <w:rFonts w:ascii="Lato" w:hAnsi="Lato"/>
          <w:sz w:val="20"/>
          <w:szCs w:val="20"/>
          <w:lang w:val="en"/>
        </w:rPr>
        <w:t xml:space="preserve"> </w:t>
      </w:r>
      <w:r w:rsidRPr="007541FE">
        <w:rPr>
          <w:rFonts w:ascii="Lato" w:hAnsi="Lato"/>
          <w:sz w:val="20"/>
          <w:szCs w:val="20"/>
          <w:lang w:val="en"/>
        </w:rPr>
        <w:t>Commission</w:t>
      </w:r>
      <w:r w:rsidR="00F92842" w:rsidRPr="007541FE">
        <w:rPr>
          <w:rFonts w:ascii="Lato" w:hAnsi="Lato"/>
          <w:sz w:val="20"/>
          <w:szCs w:val="20"/>
          <w:lang w:val="en"/>
        </w:rPr>
        <w:t xml:space="preserve"> website</w:t>
      </w:r>
      <w:r w:rsidRPr="007541FE">
        <w:rPr>
          <w:rFonts w:ascii="Lato" w:hAnsi="Lato"/>
          <w:sz w:val="20"/>
          <w:szCs w:val="20"/>
          <w:lang w:val="en"/>
        </w:rPr>
        <w:t xml:space="preserve"> and the </w:t>
      </w:r>
      <w:r w:rsidR="00713E03">
        <w:rPr>
          <w:rFonts w:ascii="Lato" w:hAnsi="Lato"/>
          <w:sz w:val="20"/>
          <w:szCs w:val="20"/>
          <w:lang w:val="en"/>
        </w:rPr>
        <w:t>A</w:t>
      </w:r>
      <w:proofErr w:type="spellStart"/>
      <w:r w:rsidRPr="007541FE">
        <w:rPr>
          <w:sz w:val="20"/>
          <w:szCs w:val="20"/>
        </w:rPr>
        <w:t>ssociation</w:t>
      </w:r>
      <w:proofErr w:type="spellEnd"/>
      <w:r w:rsidRPr="007541FE">
        <w:rPr>
          <w:sz w:val="20"/>
          <w:szCs w:val="20"/>
        </w:rPr>
        <w:t xml:space="preserve"> of </w:t>
      </w:r>
      <w:r w:rsidR="00713E03">
        <w:rPr>
          <w:sz w:val="20"/>
          <w:szCs w:val="20"/>
        </w:rPr>
        <w:t>C</w:t>
      </w:r>
      <w:r w:rsidRPr="007541FE">
        <w:rPr>
          <w:sz w:val="20"/>
          <w:szCs w:val="20"/>
        </w:rPr>
        <w:t xml:space="preserve">hurch </w:t>
      </w:r>
      <w:r w:rsidR="00713E03">
        <w:rPr>
          <w:sz w:val="20"/>
          <w:szCs w:val="20"/>
        </w:rPr>
        <w:t>A</w:t>
      </w:r>
      <w:r w:rsidRPr="007541FE">
        <w:rPr>
          <w:sz w:val="20"/>
          <w:szCs w:val="20"/>
        </w:rPr>
        <w:t xml:space="preserve">ccountants and </w:t>
      </w:r>
      <w:r w:rsidR="00713E03">
        <w:rPr>
          <w:sz w:val="20"/>
          <w:szCs w:val="20"/>
        </w:rPr>
        <w:t>T</w:t>
      </w:r>
      <w:r w:rsidRPr="007541FE">
        <w:rPr>
          <w:sz w:val="20"/>
          <w:szCs w:val="20"/>
        </w:rPr>
        <w:t>reasurers website (to which a log on will be available in January 2020 for all treasurers within our Diocese</w:t>
      </w:r>
      <w:r w:rsidR="00581943">
        <w:rPr>
          <w:sz w:val="20"/>
          <w:szCs w:val="20"/>
        </w:rPr>
        <w:t xml:space="preserve"> and we will be offering some free courses to treasurers during 2020</w:t>
      </w:r>
      <w:r w:rsidRPr="007541FE">
        <w:rPr>
          <w:sz w:val="20"/>
          <w:szCs w:val="20"/>
        </w:rPr>
        <w:t>).  The ACAT h</w:t>
      </w:r>
      <w:r w:rsidR="00F92842" w:rsidRPr="007541FE">
        <w:rPr>
          <w:sz w:val="20"/>
          <w:szCs w:val="20"/>
        </w:rPr>
        <w:t xml:space="preserve">andbook is also </w:t>
      </w:r>
      <w:r w:rsidRPr="007541FE">
        <w:rPr>
          <w:sz w:val="20"/>
          <w:szCs w:val="20"/>
        </w:rPr>
        <w:t xml:space="preserve">available </w:t>
      </w:r>
      <w:r w:rsidR="00F92842" w:rsidRPr="007541FE">
        <w:rPr>
          <w:sz w:val="20"/>
          <w:szCs w:val="20"/>
        </w:rPr>
        <w:t xml:space="preserve">on </w:t>
      </w:r>
      <w:hyperlink r:id="rId7" w:history="1">
        <w:r w:rsidR="00F92842" w:rsidRPr="007541FE">
          <w:rPr>
            <w:rStyle w:val="Hyperlink"/>
            <w:sz w:val="20"/>
            <w:szCs w:val="20"/>
          </w:rPr>
          <w:t>https://www.parishresources.org.uk/wp-content/uploads/ACAT-New-Treasurers-Guide.pdf</w:t>
        </w:r>
      </w:hyperlink>
    </w:p>
    <w:p w14:paraId="7A646188" w14:textId="77777777" w:rsidR="001724A6" w:rsidRDefault="001724A6" w:rsidP="001724A6">
      <w:pPr>
        <w:pStyle w:val="ListParagraph"/>
        <w:rPr>
          <w:sz w:val="20"/>
          <w:szCs w:val="20"/>
        </w:rPr>
      </w:pPr>
    </w:p>
    <w:p w14:paraId="77FEA98C" w14:textId="77777777" w:rsidR="00AC6DD6" w:rsidRDefault="00AC6DD6" w:rsidP="001724A6">
      <w:pPr>
        <w:pStyle w:val="ListParagraph"/>
        <w:rPr>
          <w:sz w:val="20"/>
          <w:szCs w:val="20"/>
        </w:rPr>
      </w:pPr>
    </w:p>
    <w:p w14:paraId="7FBB4589" w14:textId="77777777" w:rsidR="001724A6" w:rsidRDefault="00AC6DD6" w:rsidP="00146DEF">
      <w:pPr>
        <w:pStyle w:val="ListParagraph"/>
        <w:rPr>
          <w:sz w:val="20"/>
          <w:szCs w:val="20"/>
        </w:rPr>
      </w:pPr>
      <w:r>
        <w:rPr>
          <w:sz w:val="20"/>
          <w:szCs w:val="20"/>
        </w:rPr>
        <w:t xml:space="preserve">If you have any queries on any of the above please do contact </w:t>
      </w:r>
      <w:r w:rsidR="00146DEF">
        <w:rPr>
          <w:sz w:val="20"/>
          <w:szCs w:val="20"/>
        </w:rPr>
        <w:t xml:space="preserve">the Diocesan office finance team or your </w:t>
      </w:r>
      <w:r>
        <w:rPr>
          <w:sz w:val="20"/>
          <w:szCs w:val="20"/>
        </w:rPr>
        <w:t>Deanery Financial Advisor</w:t>
      </w:r>
      <w:r w:rsidR="00146DEF">
        <w:rPr>
          <w:sz w:val="20"/>
          <w:szCs w:val="20"/>
        </w:rPr>
        <w:t xml:space="preserve">. </w:t>
      </w:r>
    </w:p>
    <w:p w14:paraId="4E678557" w14:textId="77777777" w:rsidR="00532B99" w:rsidRDefault="00532B99" w:rsidP="00146DEF">
      <w:pPr>
        <w:pStyle w:val="ListParagraph"/>
        <w:rPr>
          <w:sz w:val="20"/>
          <w:szCs w:val="20"/>
        </w:rPr>
      </w:pPr>
    </w:p>
    <w:p w14:paraId="74733C16" w14:textId="5792DF52" w:rsidR="00532B99" w:rsidRDefault="0049264E" w:rsidP="00146DEF">
      <w:pPr>
        <w:pStyle w:val="ListParagraph"/>
        <w:rPr>
          <w:sz w:val="20"/>
          <w:szCs w:val="20"/>
        </w:rPr>
      </w:pPr>
      <w:r>
        <w:rPr>
          <w:sz w:val="20"/>
          <w:szCs w:val="20"/>
        </w:rPr>
        <w:t>February</w:t>
      </w:r>
      <w:r w:rsidR="00532B99">
        <w:rPr>
          <w:sz w:val="20"/>
          <w:szCs w:val="20"/>
        </w:rPr>
        <w:t xml:space="preserve"> 20</w:t>
      </w:r>
      <w:r>
        <w:rPr>
          <w:sz w:val="20"/>
          <w:szCs w:val="20"/>
        </w:rPr>
        <w:t>26</w:t>
      </w:r>
    </w:p>
    <w:p w14:paraId="03D4FDE6" w14:textId="77777777" w:rsidR="001724A6" w:rsidRPr="007541FE" w:rsidRDefault="001724A6" w:rsidP="001724A6">
      <w:pPr>
        <w:rPr>
          <w:sz w:val="20"/>
          <w:szCs w:val="20"/>
        </w:rPr>
      </w:pPr>
    </w:p>
    <w:sectPr w:rsidR="001724A6" w:rsidRPr="007541FE" w:rsidSect="007541F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13D8"/>
    <w:multiLevelType w:val="hybridMultilevel"/>
    <w:tmpl w:val="D90E7FFC"/>
    <w:lvl w:ilvl="0" w:tplc="08090001">
      <w:start w:val="1"/>
      <w:numFmt w:val="bullet"/>
      <w:lvlText w:val=""/>
      <w:lvlJc w:val="left"/>
      <w:pPr>
        <w:ind w:left="1314" w:hanging="180"/>
      </w:pPr>
      <w:rPr>
        <w:rFonts w:ascii="Symbol" w:hAnsi="Symbol" w:hint="default"/>
      </w:rPr>
    </w:lvl>
    <w:lvl w:ilvl="1" w:tplc="08090019">
      <w:start w:val="1"/>
      <w:numFmt w:val="lowerLetter"/>
      <w:lvlText w:val="%2."/>
      <w:lvlJc w:val="left"/>
      <w:pPr>
        <w:ind w:left="594" w:hanging="360"/>
      </w:pPr>
    </w:lvl>
    <w:lvl w:ilvl="2" w:tplc="0809001B">
      <w:start w:val="1"/>
      <w:numFmt w:val="lowerRoman"/>
      <w:lvlText w:val="%3."/>
      <w:lvlJc w:val="right"/>
      <w:pPr>
        <w:ind w:left="1314" w:hanging="180"/>
      </w:pPr>
    </w:lvl>
    <w:lvl w:ilvl="3" w:tplc="0809000F">
      <w:start w:val="1"/>
      <w:numFmt w:val="decimal"/>
      <w:lvlText w:val="%4."/>
      <w:lvlJc w:val="left"/>
      <w:pPr>
        <w:ind w:left="2034" w:hanging="360"/>
      </w:pPr>
    </w:lvl>
    <w:lvl w:ilvl="4" w:tplc="08090019">
      <w:start w:val="1"/>
      <w:numFmt w:val="lowerLetter"/>
      <w:lvlText w:val="%5."/>
      <w:lvlJc w:val="left"/>
      <w:pPr>
        <w:ind w:left="2754" w:hanging="360"/>
      </w:pPr>
    </w:lvl>
    <w:lvl w:ilvl="5" w:tplc="0809001B">
      <w:start w:val="1"/>
      <w:numFmt w:val="lowerRoman"/>
      <w:lvlText w:val="%6."/>
      <w:lvlJc w:val="right"/>
      <w:pPr>
        <w:ind w:left="3474" w:hanging="180"/>
      </w:pPr>
    </w:lvl>
    <w:lvl w:ilvl="6" w:tplc="0809000F">
      <w:start w:val="1"/>
      <w:numFmt w:val="decimal"/>
      <w:lvlText w:val="%7."/>
      <w:lvlJc w:val="left"/>
      <w:pPr>
        <w:ind w:left="4194" w:hanging="360"/>
      </w:pPr>
    </w:lvl>
    <w:lvl w:ilvl="7" w:tplc="08090019">
      <w:start w:val="1"/>
      <w:numFmt w:val="lowerLetter"/>
      <w:lvlText w:val="%8."/>
      <w:lvlJc w:val="left"/>
      <w:pPr>
        <w:ind w:left="4914" w:hanging="360"/>
      </w:pPr>
    </w:lvl>
    <w:lvl w:ilvl="8" w:tplc="0809001B">
      <w:start w:val="1"/>
      <w:numFmt w:val="lowerRoman"/>
      <w:lvlText w:val="%9."/>
      <w:lvlJc w:val="right"/>
      <w:pPr>
        <w:ind w:left="5634" w:hanging="180"/>
      </w:pPr>
    </w:lvl>
  </w:abstractNum>
  <w:abstractNum w:abstractNumId="1" w15:restartNumberingAfterBreak="0">
    <w:nsid w:val="11146DF2"/>
    <w:multiLevelType w:val="hybridMultilevel"/>
    <w:tmpl w:val="4AF0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6166A"/>
    <w:multiLevelType w:val="hybridMultilevel"/>
    <w:tmpl w:val="ED3EFC02"/>
    <w:lvl w:ilvl="0" w:tplc="8938CAE8">
      <w:start w:val="1"/>
      <w:numFmt w:val="lowerRoman"/>
      <w:lvlText w:val="%1."/>
      <w:lvlJc w:val="right"/>
      <w:pPr>
        <w:ind w:left="748" w:hanging="180"/>
      </w:pPr>
      <w:rPr>
        <w:b w:val="0"/>
      </w:rPr>
    </w:lvl>
    <w:lvl w:ilvl="1" w:tplc="08090019">
      <w:start w:val="1"/>
      <w:numFmt w:val="lowerLetter"/>
      <w:lvlText w:val="%2."/>
      <w:lvlJc w:val="left"/>
      <w:pPr>
        <w:ind w:left="28" w:hanging="360"/>
      </w:pPr>
    </w:lvl>
    <w:lvl w:ilvl="2" w:tplc="0809001B">
      <w:start w:val="1"/>
      <w:numFmt w:val="lowerRoman"/>
      <w:lvlText w:val="%3."/>
      <w:lvlJc w:val="right"/>
      <w:pPr>
        <w:ind w:left="748" w:hanging="180"/>
      </w:pPr>
    </w:lvl>
    <w:lvl w:ilvl="3" w:tplc="0809000F">
      <w:start w:val="1"/>
      <w:numFmt w:val="decimal"/>
      <w:lvlText w:val="%4."/>
      <w:lvlJc w:val="left"/>
      <w:pPr>
        <w:ind w:left="1468" w:hanging="360"/>
      </w:pPr>
    </w:lvl>
    <w:lvl w:ilvl="4" w:tplc="08090019">
      <w:start w:val="1"/>
      <w:numFmt w:val="lowerLetter"/>
      <w:lvlText w:val="%5."/>
      <w:lvlJc w:val="left"/>
      <w:pPr>
        <w:ind w:left="2188" w:hanging="360"/>
      </w:pPr>
    </w:lvl>
    <w:lvl w:ilvl="5" w:tplc="0809001B">
      <w:start w:val="1"/>
      <w:numFmt w:val="lowerRoman"/>
      <w:lvlText w:val="%6."/>
      <w:lvlJc w:val="right"/>
      <w:pPr>
        <w:ind w:left="2908" w:hanging="180"/>
      </w:pPr>
    </w:lvl>
    <w:lvl w:ilvl="6" w:tplc="0809000F">
      <w:start w:val="1"/>
      <w:numFmt w:val="decimal"/>
      <w:lvlText w:val="%7."/>
      <w:lvlJc w:val="left"/>
      <w:pPr>
        <w:ind w:left="3628" w:hanging="360"/>
      </w:pPr>
    </w:lvl>
    <w:lvl w:ilvl="7" w:tplc="08090019">
      <w:start w:val="1"/>
      <w:numFmt w:val="lowerLetter"/>
      <w:lvlText w:val="%8."/>
      <w:lvlJc w:val="left"/>
      <w:pPr>
        <w:ind w:left="4348" w:hanging="360"/>
      </w:pPr>
    </w:lvl>
    <w:lvl w:ilvl="8" w:tplc="0809001B">
      <w:start w:val="1"/>
      <w:numFmt w:val="lowerRoman"/>
      <w:lvlText w:val="%9."/>
      <w:lvlJc w:val="right"/>
      <w:pPr>
        <w:ind w:left="5068" w:hanging="180"/>
      </w:pPr>
    </w:lvl>
  </w:abstractNum>
  <w:abstractNum w:abstractNumId="3" w15:restartNumberingAfterBreak="0">
    <w:nsid w:val="4D8A61AF"/>
    <w:multiLevelType w:val="hybridMultilevel"/>
    <w:tmpl w:val="80D4E142"/>
    <w:lvl w:ilvl="0" w:tplc="08090001">
      <w:start w:val="1"/>
      <w:numFmt w:val="bullet"/>
      <w:lvlText w:val=""/>
      <w:lvlJc w:val="left"/>
      <w:pPr>
        <w:ind w:left="180" w:hanging="180"/>
      </w:pPr>
      <w:rPr>
        <w:rFonts w:ascii="Symbol" w:hAnsi="Symbol" w:hint="default"/>
        <w:b w:val="0"/>
      </w:rPr>
    </w:lvl>
    <w:lvl w:ilvl="1" w:tplc="08090019">
      <w:start w:val="1"/>
      <w:numFmt w:val="lowerLetter"/>
      <w:lvlText w:val="%2."/>
      <w:lvlJc w:val="left"/>
      <w:pPr>
        <w:ind w:left="-540" w:hanging="360"/>
      </w:pPr>
    </w:lvl>
    <w:lvl w:ilvl="2" w:tplc="0809001B">
      <w:start w:val="1"/>
      <w:numFmt w:val="lowerRoman"/>
      <w:lvlText w:val="%3."/>
      <w:lvlJc w:val="right"/>
      <w:pPr>
        <w:ind w:left="180" w:hanging="180"/>
      </w:pPr>
    </w:lvl>
    <w:lvl w:ilvl="3" w:tplc="0809000F">
      <w:start w:val="1"/>
      <w:numFmt w:val="decimal"/>
      <w:lvlText w:val="%4."/>
      <w:lvlJc w:val="left"/>
      <w:pPr>
        <w:ind w:left="900" w:hanging="360"/>
      </w:pPr>
    </w:lvl>
    <w:lvl w:ilvl="4" w:tplc="08090019">
      <w:start w:val="1"/>
      <w:numFmt w:val="lowerLetter"/>
      <w:lvlText w:val="%5."/>
      <w:lvlJc w:val="left"/>
      <w:pPr>
        <w:ind w:left="1620" w:hanging="360"/>
      </w:pPr>
    </w:lvl>
    <w:lvl w:ilvl="5" w:tplc="0809001B">
      <w:start w:val="1"/>
      <w:numFmt w:val="lowerRoman"/>
      <w:lvlText w:val="%6."/>
      <w:lvlJc w:val="right"/>
      <w:pPr>
        <w:ind w:left="2340" w:hanging="180"/>
      </w:pPr>
    </w:lvl>
    <w:lvl w:ilvl="6" w:tplc="0809000F">
      <w:start w:val="1"/>
      <w:numFmt w:val="decimal"/>
      <w:lvlText w:val="%7."/>
      <w:lvlJc w:val="left"/>
      <w:pPr>
        <w:ind w:left="3060" w:hanging="360"/>
      </w:pPr>
    </w:lvl>
    <w:lvl w:ilvl="7" w:tplc="08090019">
      <w:start w:val="1"/>
      <w:numFmt w:val="lowerLetter"/>
      <w:lvlText w:val="%8."/>
      <w:lvlJc w:val="left"/>
      <w:pPr>
        <w:ind w:left="3780" w:hanging="360"/>
      </w:pPr>
    </w:lvl>
    <w:lvl w:ilvl="8" w:tplc="0809001B">
      <w:start w:val="1"/>
      <w:numFmt w:val="lowerRoman"/>
      <w:lvlText w:val="%9."/>
      <w:lvlJc w:val="right"/>
      <w:pPr>
        <w:ind w:left="4500" w:hanging="180"/>
      </w:pPr>
    </w:lvl>
  </w:abstractNum>
  <w:abstractNum w:abstractNumId="4" w15:restartNumberingAfterBreak="0">
    <w:nsid w:val="6F166B67"/>
    <w:multiLevelType w:val="hybridMultilevel"/>
    <w:tmpl w:val="89947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46402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3495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9010333">
    <w:abstractNumId w:val="4"/>
  </w:num>
  <w:num w:numId="4" w16cid:durableId="18968179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650368">
    <w:abstractNumId w:val="0"/>
  </w:num>
  <w:num w:numId="6" w16cid:durableId="1301812805">
    <w:abstractNumId w:val="4"/>
  </w:num>
  <w:num w:numId="7" w16cid:durableId="1140685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3B0"/>
    <w:rsid w:val="000319E4"/>
    <w:rsid w:val="00055222"/>
    <w:rsid w:val="0009450E"/>
    <w:rsid w:val="00146DEF"/>
    <w:rsid w:val="001724A6"/>
    <w:rsid w:val="002A53CF"/>
    <w:rsid w:val="00304BEC"/>
    <w:rsid w:val="0033088D"/>
    <w:rsid w:val="0049264E"/>
    <w:rsid w:val="00532B99"/>
    <w:rsid w:val="00581943"/>
    <w:rsid w:val="006041DD"/>
    <w:rsid w:val="00713E03"/>
    <w:rsid w:val="007541FE"/>
    <w:rsid w:val="007A4A78"/>
    <w:rsid w:val="009D5A2C"/>
    <w:rsid w:val="00AC6DD6"/>
    <w:rsid w:val="00B40732"/>
    <w:rsid w:val="00E433B0"/>
    <w:rsid w:val="00F92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E314"/>
  <w15:chartTrackingRefBased/>
  <w15:docId w15:val="{94D30B32-6F36-487A-804E-31D4A00C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3B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3B0"/>
    <w:rPr>
      <w:color w:val="0000FF"/>
      <w:u w:val="single"/>
    </w:rPr>
  </w:style>
  <w:style w:type="paragraph" w:styleId="ListParagraph">
    <w:name w:val="List Paragraph"/>
    <w:basedOn w:val="Normal"/>
    <w:uiPriority w:val="34"/>
    <w:qFormat/>
    <w:rsid w:val="00E43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46816">
      <w:bodyDiv w:val="1"/>
      <w:marLeft w:val="0"/>
      <w:marRight w:val="0"/>
      <w:marTop w:val="0"/>
      <w:marBottom w:val="0"/>
      <w:divBdr>
        <w:top w:val="none" w:sz="0" w:space="0" w:color="auto"/>
        <w:left w:val="none" w:sz="0" w:space="0" w:color="auto"/>
        <w:bottom w:val="none" w:sz="0" w:space="0" w:color="auto"/>
        <w:right w:val="none" w:sz="0" w:space="0" w:color="auto"/>
      </w:divBdr>
    </w:div>
    <w:div w:id="1328751270">
      <w:bodyDiv w:val="1"/>
      <w:marLeft w:val="0"/>
      <w:marRight w:val="0"/>
      <w:marTop w:val="0"/>
      <w:marBottom w:val="0"/>
      <w:divBdr>
        <w:top w:val="none" w:sz="0" w:space="0" w:color="auto"/>
        <w:left w:val="none" w:sz="0" w:space="0" w:color="auto"/>
        <w:bottom w:val="none" w:sz="0" w:space="0" w:color="auto"/>
        <w:right w:val="none" w:sz="0" w:space="0" w:color="auto"/>
      </w:divBdr>
    </w:div>
    <w:div w:id="1584801544">
      <w:bodyDiv w:val="1"/>
      <w:marLeft w:val="0"/>
      <w:marRight w:val="0"/>
      <w:marTop w:val="0"/>
      <w:marBottom w:val="0"/>
      <w:divBdr>
        <w:top w:val="none" w:sz="0" w:space="0" w:color="auto"/>
        <w:left w:val="none" w:sz="0" w:space="0" w:color="auto"/>
        <w:bottom w:val="none" w:sz="0" w:space="0" w:color="auto"/>
        <w:right w:val="none" w:sz="0" w:space="0" w:color="auto"/>
      </w:divBdr>
    </w:div>
    <w:div w:id="175847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rishresources.org.uk/wp-content/uploads/ACAT-New-Treasurers-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ishresources.org.uk/wp-content/uploads/tar.pdf" TargetMode="External"/><Relationship Id="rId5" Type="http://schemas.openxmlformats.org/officeDocument/2006/relationships/hyperlink" Target="http://www.churchofengland.org/more/policy-and-thinking/pcc-accountability-gui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561</Words>
  <Characters>3099</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Rose</dc:creator>
  <cp:keywords/>
  <dc:description/>
  <cp:lastModifiedBy>Kathryn Rose</cp:lastModifiedBy>
  <cp:revision>2</cp:revision>
  <dcterms:created xsi:type="dcterms:W3CDTF">2026-02-16T18:36:00Z</dcterms:created>
  <dcterms:modified xsi:type="dcterms:W3CDTF">2026-02-16T18:36:00Z</dcterms:modified>
</cp:coreProperties>
</file>